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73" w:rsidRDefault="00B87973" w:rsidP="00BF2165">
      <w:pPr>
        <w:jc w:val="center"/>
        <w:rPr>
          <w:rFonts w:ascii="Arial" w:hAnsi="Arial" w:cs="Arial"/>
          <w:b/>
          <w:szCs w:val="20"/>
        </w:rPr>
      </w:pPr>
    </w:p>
    <w:p w:rsidR="00B87973" w:rsidRDefault="00B87973" w:rsidP="00BF2165">
      <w:pPr>
        <w:jc w:val="center"/>
        <w:rPr>
          <w:rFonts w:ascii="Arial" w:hAnsi="Arial" w:cs="Arial"/>
          <w:b/>
          <w:szCs w:val="20"/>
        </w:rPr>
      </w:pPr>
    </w:p>
    <w:p w:rsidR="00BF2165" w:rsidRPr="00B87973" w:rsidRDefault="00DF2E6C" w:rsidP="00BF2165">
      <w:pPr>
        <w:jc w:val="center"/>
        <w:rPr>
          <w:rFonts w:ascii="Arial" w:hAnsi="Arial" w:cs="Arial"/>
          <w:b/>
          <w:szCs w:val="20"/>
        </w:rPr>
      </w:pPr>
      <w:r w:rsidRPr="00B87973">
        <w:rPr>
          <w:rFonts w:ascii="Arial" w:hAnsi="Arial" w:cs="Arial"/>
          <w:b/>
          <w:szCs w:val="20"/>
        </w:rPr>
        <w:t>Advanced Wealth Management</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87973">
        <w:trPr>
          <w:trHeight w:val="455"/>
        </w:trPr>
        <w:tc>
          <w:tcPr>
            <w:tcW w:w="846" w:type="dxa"/>
            <w:tcBorders>
              <w:top w:val="single" w:sz="4" w:space="0" w:color="auto"/>
              <w:left w:val="single" w:sz="4" w:space="0" w:color="auto"/>
              <w:bottom w:val="single" w:sz="4" w:space="0" w:color="auto"/>
              <w:right w:val="single" w:sz="4" w:space="0" w:color="auto"/>
            </w:tcBorders>
            <w:hideMark/>
          </w:tcPr>
          <w:p w:rsidR="00BF2165" w:rsidRPr="00B87973" w:rsidRDefault="00BF2165">
            <w:pPr>
              <w:spacing w:line="240" w:lineRule="auto"/>
              <w:jc w:val="center"/>
              <w:rPr>
                <w:rFonts w:ascii="Arial" w:hAnsi="Arial" w:cs="Arial"/>
                <w:b/>
                <w:szCs w:val="20"/>
              </w:rPr>
            </w:pPr>
            <w:proofErr w:type="spellStart"/>
            <w:r w:rsidRPr="00B87973">
              <w:rPr>
                <w:rFonts w:ascii="Arial" w:hAnsi="Arial" w:cs="Arial"/>
                <w:b/>
                <w:szCs w:val="20"/>
              </w:rPr>
              <w:t>S.No</w:t>
            </w:r>
            <w:proofErr w:type="spellEnd"/>
            <w:r w:rsidRPr="00B87973">
              <w:rPr>
                <w:rFonts w:ascii="Arial" w:hAnsi="Arial" w:cs="Arial"/>
                <w:b/>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B87973" w:rsidRDefault="00BF2165">
            <w:pPr>
              <w:spacing w:line="240" w:lineRule="auto"/>
              <w:jc w:val="center"/>
              <w:rPr>
                <w:rFonts w:ascii="Arial" w:hAnsi="Arial" w:cs="Arial"/>
                <w:b/>
                <w:szCs w:val="20"/>
              </w:rPr>
            </w:pPr>
            <w:r w:rsidRPr="00B87973">
              <w:rPr>
                <w:rFonts w:ascii="Arial" w:hAnsi="Arial" w:cs="Arial"/>
                <w:b/>
                <w:szCs w:val="20"/>
              </w:rPr>
              <w:t>RBI Notification</w:t>
            </w:r>
          </w:p>
        </w:tc>
      </w:tr>
      <w:tr w:rsidR="00BF2165" w:rsidRPr="006C5648" w:rsidTr="00B87973">
        <w:trPr>
          <w:trHeight w:val="405"/>
        </w:trPr>
        <w:tc>
          <w:tcPr>
            <w:tcW w:w="846" w:type="dxa"/>
            <w:tcBorders>
              <w:top w:val="single" w:sz="4" w:space="0" w:color="auto"/>
              <w:left w:val="single" w:sz="4" w:space="0" w:color="auto"/>
              <w:bottom w:val="single" w:sz="4" w:space="0" w:color="auto"/>
              <w:right w:val="single" w:sz="4" w:space="0" w:color="auto"/>
            </w:tcBorders>
          </w:tcPr>
          <w:p w:rsidR="00BF2165" w:rsidRPr="00B87973" w:rsidRDefault="00BF2165" w:rsidP="005A38FC">
            <w:pPr>
              <w:pStyle w:val="ListParagraph"/>
              <w:numPr>
                <w:ilvl w:val="0"/>
                <w:numId w:val="1"/>
              </w:numPr>
              <w:spacing w:line="240" w:lineRule="auto"/>
              <w:jc w:val="both"/>
              <w:rPr>
                <w:rFonts w:ascii="Arial" w:hAnsi="Arial" w:cs="Arial"/>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B87973" w:rsidRDefault="00DF2E6C">
            <w:pPr>
              <w:spacing w:line="240" w:lineRule="auto"/>
              <w:jc w:val="both"/>
              <w:rPr>
                <w:rFonts w:ascii="Calibri" w:hAnsi="Calibri" w:cs="Calibri"/>
                <w:color w:val="000000"/>
                <w:sz w:val="24"/>
                <w:szCs w:val="20"/>
              </w:rPr>
            </w:pPr>
            <w:r w:rsidRPr="00B87973">
              <w:rPr>
                <w:rFonts w:ascii="Calibri" w:hAnsi="Calibri" w:cs="Calibri"/>
                <w:color w:val="000000"/>
                <w:sz w:val="24"/>
                <w:szCs w:val="20"/>
              </w:rPr>
              <w:t>Gold Monetization Scheme (GMS), 2015</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DF2E6C" w:rsidRDefault="00DF2E6C" w:rsidP="00A410BB">
      <w:pPr>
        <w:spacing w:line="259" w:lineRule="auto"/>
        <w:rPr>
          <w:rFonts w:ascii="Arial" w:hAnsi="Arial" w:cs="Arial"/>
          <w:b/>
          <w:bCs/>
          <w:color w:val="000000"/>
          <w:sz w:val="20"/>
          <w:szCs w:val="20"/>
        </w:rPr>
      </w:pPr>
    </w:p>
    <w:p w:rsidR="002B1FDD" w:rsidRDefault="002B1FDD" w:rsidP="00A410BB">
      <w:pPr>
        <w:spacing w:line="259" w:lineRule="auto"/>
        <w:rPr>
          <w:rFonts w:ascii="Arial" w:hAnsi="Arial" w:cs="Arial"/>
          <w:b/>
          <w:bCs/>
          <w:color w:val="000000"/>
          <w:sz w:val="20"/>
          <w:szCs w:val="20"/>
        </w:rPr>
      </w:pPr>
    </w:p>
    <w:p w:rsidR="00A410BB" w:rsidRDefault="00A410BB" w:rsidP="00A410BB">
      <w:pPr>
        <w:spacing w:line="259" w:lineRule="auto"/>
        <w:rPr>
          <w:rFonts w:ascii="Arial" w:hAnsi="Arial" w:cs="Arial"/>
          <w:b/>
          <w:bCs/>
          <w:color w:val="000000"/>
          <w:sz w:val="20"/>
          <w:szCs w:val="20"/>
        </w:rPr>
      </w:pPr>
      <w:bookmarkStart w:id="0" w:name="_GoBack"/>
      <w:bookmarkEnd w:id="0"/>
      <w:r>
        <w:rPr>
          <w:rFonts w:ascii="Arial" w:hAnsi="Arial" w:cs="Arial"/>
          <w:b/>
          <w:bCs/>
          <w:color w:val="000000"/>
          <w:sz w:val="20"/>
          <w:szCs w:val="20"/>
        </w:rPr>
        <w:lastRenderedPageBreak/>
        <w:t>Gold Monetization Scheme (GMS), 2015</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RBI/2022-23/100</w:t>
      </w:r>
      <w:r>
        <w:rPr>
          <w:rFonts w:ascii="Arial" w:hAnsi="Arial" w:cs="Arial"/>
          <w:color w:val="000000"/>
          <w:sz w:val="20"/>
          <w:szCs w:val="20"/>
        </w:rPr>
        <w:br/>
        <w:t>DoR.AUT.REC.58/23.67.001/2022-23</w:t>
      </w:r>
    </w:p>
    <w:p w:rsidR="00A410BB" w:rsidRDefault="00A410BB" w:rsidP="00A410BB">
      <w:pPr>
        <w:pStyle w:val="NormalWeb"/>
        <w:jc w:val="right"/>
        <w:rPr>
          <w:rFonts w:ascii="Arial" w:hAnsi="Arial" w:cs="Arial"/>
          <w:color w:val="000000"/>
          <w:sz w:val="20"/>
          <w:szCs w:val="20"/>
        </w:rPr>
      </w:pPr>
      <w:r>
        <w:rPr>
          <w:rFonts w:ascii="Arial" w:hAnsi="Arial" w:cs="Arial"/>
          <w:color w:val="000000"/>
          <w:sz w:val="20"/>
          <w:szCs w:val="20"/>
        </w:rPr>
        <w:t>August 04, 2022</w:t>
      </w:r>
    </w:p>
    <w:p w:rsidR="00A410BB" w:rsidRDefault="00A410BB" w:rsidP="00436D36">
      <w:pPr>
        <w:pStyle w:val="NormalWeb"/>
        <w:spacing w:after="0" w:afterAutospacing="0"/>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Regional Rural Banks)</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Dear Sir/Madam</w:t>
      </w:r>
    </w:p>
    <w:p w:rsidR="00A410BB" w:rsidRDefault="00A410BB" w:rsidP="00A410BB">
      <w:pPr>
        <w:pStyle w:val="head"/>
        <w:rPr>
          <w:rFonts w:ascii="Arial" w:hAnsi="Arial" w:cs="Arial"/>
          <w:b/>
          <w:bCs/>
          <w:color w:val="000000"/>
          <w:sz w:val="20"/>
          <w:szCs w:val="20"/>
        </w:rPr>
      </w:pPr>
      <w:r>
        <w:rPr>
          <w:rFonts w:ascii="Arial" w:hAnsi="Arial" w:cs="Arial"/>
          <w:b/>
          <w:bCs/>
          <w:color w:val="000000"/>
          <w:sz w:val="20"/>
          <w:szCs w:val="20"/>
        </w:rPr>
        <w:t>Gold Monetization Scheme (GMS), 2015</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In exercise of the powers conferred on the Reserve Bank of India under Section 35A of the Banking Regulation Act, 1949, the RBI makes the following amendments in the Reserve Bank of India (Gold Monetization Scheme, 2015) </w:t>
      </w:r>
      <w:hyperlink r:id="rId6" w:tgtFrame="_blank" w:history="1">
        <w:r>
          <w:rPr>
            <w:rStyle w:val="Hyperlink"/>
            <w:rFonts w:ascii="Arial" w:hAnsi="Arial" w:cs="Arial"/>
            <w:sz w:val="20"/>
            <w:szCs w:val="20"/>
          </w:rPr>
          <w:t>Master Direction No.DBR.IBD.No.45/23.67.003/2015-16 dated October 22, 2015</w:t>
        </w:r>
      </w:hyperlink>
      <w:r>
        <w:rPr>
          <w:rFonts w:ascii="Arial" w:hAnsi="Arial" w:cs="Arial"/>
          <w:color w:val="000000"/>
          <w:sz w:val="20"/>
          <w:szCs w:val="20"/>
        </w:rPr>
        <w:t>, with immediate effect.</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2. The existing sub-para 2.2.</w:t>
      </w:r>
      <w:proofErr w:type="gramStart"/>
      <w:r>
        <w:rPr>
          <w:rFonts w:ascii="Arial" w:hAnsi="Arial" w:cs="Arial"/>
          <w:color w:val="000000"/>
          <w:sz w:val="20"/>
          <w:szCs w:val="20"/>
        </w:rPr>
        <w:t>2.(</w:t>
      </w:r>
      <w:proofErr w:type="gramEnd"/>
      <w:r>
        <w:rPr>
          <w:rFonts w:ascii="Arial" w:hAnsi="Arial" w:cs="Arial"/>
          <w:color w:val="000000"/>
          <w:sz w:val="20"/>
          <w:szCs w:val="20"/>
        </w:rPr>
        <w:t>v) stands deleted (and hence the existing sub-paras 2.2.2.(vi) to 2.2.2.(viii) have accordingly been renumbered). The corresponding provisions have been suitably incorporated in sub-para 2.4.i.(a) and 2.4.i.(b).</w:t>
      </w:r>
    </w:p>
    <w:p w:rsidR="00A410BB" w:rsidRDefault="00A410BB" w:rsidP="00436D36">
      <w:pPr>
        <w:pStyle w:val="NormalWeb"/>
        <w:spacing w:after="0" w:afterAutospacing="0"/>
        <w:rPr>
          <w:rFonts w:ascii="Arial" w:hAnsi="Arial" w:cs="Arial"/>
          <w:color w:val="000000"/>
          <w:sz w:val="20"/>
          <w:szCs w:val="20"/>
        </w:rPr>
      </w:pPr>
      <w:r>
        <w:rPr>
          <w:rFonts w:ascii="Arial" w:hAnsi="Arial" w:cs="Arial"/>
          <w:color w:val="000000"/>
          <w:sz w:val="20"/>
          <w:szCs w:val="20"/>
        </w:rPr>
        <w:t>3. The sub-para 2.2.</w:t>
      </w:r>
      <w:proofErr w:type="gramStart"/>
      <w:r>
        <w:rPr>
          <w:rFonts w:ascii="Arial" w:hAnsi="Arial" w:cs="Arial"/>
          <w:color w:val="000000"/>
          <w:sz w:val="20"/>
          <w:szCs w:val="20"/>
        </w:rPr>
        <w:t>2.(</w:t>
      </w:r>
      <w:proofErr w:type="gramEnd"/>
      <w:r>
        <w:rPr>
          <w:rFonts w:ascii="Arial" w:hAnsi="Arial" w:cs="Arial"/>
          <w:color w:val="000000"/>
          <w:sz w:val="20"/>
          <w:szCs w:val="20"/>
        </w:rPr>
        <w:t>vii) has been amended to read as follows:</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“Central Government has decided that with effect from November 5, 2016, designated banks will be paid handling charges (including gold purity testing, refining, transportation, storage and any other relevant costs) for a new MLTGD at a flat rate of 1.5% and commission at the rate of 1% of the rupee equivalent of the amount of gold mobilized under the scheme until further notice. In case of renewal of deposits, as banks will not incur any expenses on purity testing, refining, transportation, storage and insurance etc., the banks will only be given a fixed commission of 1% of the rupee equivalent of the amount of gold on the date of renewal towards their administrative and account maintenance cost.”</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4. A new sub-para 2.4 has been inserted (and hence the existing sub-paras 2.4 to 2.10 have accordingly been renumbered) which reads as follows -</w:t>
      </w:r>
    </w:p>
    <w:p w:rsidR="00A410BB" w:rsidRDefault="00A410BB" w:rsidP="00A410BB">
      <w:pPr>
        <w:pStyle w:val="head"/>
        <w:rPr>
          <w:rFonts w:ascii="Arial" w:hAnsi="Arial" w:cs="Arial"/>
          <w:b/>
          <w:bCs/>
          <w:color w:val="000000"/>
          <w:sz w:val="20"/>
          <w:szCs w:val="20"/>
        </w:rPr>
      </w:pPr>
      <w:r>
        <w:rPr>
          <w:rFonts w:ascii="Arial" w:hAnsi="Arial" w:cs="Arial"/>
          <w:b/>
          <w:bCs/>
          <w:color w:val="000000"/>
          <w:sz w:val="20"/>
          <w:szCs w:val="20"/>
        </w:rPr>
        <w:t>Guidelines for Renewal/Redemption of MLTGD</w:t>
      </w:r>
    </w:p>
    <w:p w:rsidR="00A410BB" w:rsidRPr="00A410BB" w:rsidRDefault="00A410BB" w:rsidP="00A410BB">
      <w:pPr>
        <w:pStyle w:val="head"/>
        <w:spacing w:before="0" w:beforeAutospacing="0" w:after="0" w:afterAutospacing="0"/>
        <w:rPr>
          <w:rFonts w:ascii="Arial" w:hAnsi="Arial" w:cs="Arial"/>
          <w:bCs/>
          <w:color w:val="000000"/>
          <w:sz w:val="20"/>
          <w:szCs w:val="20"/>
        </w:rPr>
      </w:pPr>
      <w:proofErr w:type="spellStart"/>
      <w:r w:rsidRPr="00A410BB">
        <w:rPr>
          <w:rFonts w:ascii="Arial" w:hAnsi="Arial" w:cs="Arial"/>
          <w:bCs/>
          <w:color w:val="000000"/>
          <w:sz w:val="20"/>
          <w:szCs w:val="20"/>
        </w:rPr>
        <w:t>i</w:t>
      </w:r>
      <w:proofErr w:type="spellEnd"/>
      <w:r w:rsidRPr="00A410BB">
        <w:rPr>
          <w:rFonts w:ascii="Arial" w:hAnsi="Arial" w:cs="Arial"/>
          <w:bCs/>
          <w:color w:val="000000"/>
          <w:sz w:val="20"/>
          <w:szCs w:val="20"/>
        </w:rPr>
        <w:t>. General</w:t>
      </w:r>
    </w:p>
    <w:p w:rsidR="00A410BB" w:rsidRPr="00A410BB" w:rsidRDefault="00A410BB" w:rsidP="00A410BB">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 Redemption in Gold</w:t>
      </w:r>
    </w:p>
    <w:p w:rsidR="00A410BB" w:rsidRPr="00A410BB" w:rsidRDefault="00A410BB" w:rsidP="00A410BB">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iii. Redemption in INR – Modalities</w:t>
      </w:r>
    </w:p>
    <w:p w:rsidR="00A410BB" w:rsidRPr="00A410BB" w:rsidRDefault="00A410BB" w:rsidP="00A410BB">
      <w:pPr>
        <w:pStyle w:val="head"/>
        <w:spacing w:before="0" w:beforeAutospacing="0" w:after="0" w:afterAutospacing="0"/>
        <w:rPr>
          <w:rFonts w:ascii="Arial" w:hAnsi="Arial" w:cs="Arial"/>
          <w:bCs/>
          <w:color w:val="000000"/>
          <w:sz w:val="20"/>
          <w:szCs w:val="20"/>
        </w:rPr>
      </w:pPr>
      <w:r w:rsidRPr="00A410BB">
        <w:rPr>
          <w:rFonts w:ascii="Arial" w:hAnsi="Arial" w:cs="Arial"/>
          <w:bCs/>
          <w:color w:val="000000"/>
          <w:sz w:val="20"/>
          <w:szCs w:val="20"/>
        </w:rPr>
        <w:t>iv. Renewal of Deposit – Modalities</w:t>
      </w:r>
    </w:p>
    <w:p w:rsidR="00A410BB" w:rsidRPr="00A410BB" w:rsidRDefault="00A410BB" w:rsidP="00A410BB">
      <w:pPr>
        <w:pStyle w:val="head"/>
        <w:spacing w:before="0" w:beforeAutospacing="0"/>
        <w:rPr>
          <w:rFonts w:ascii="Arial" w:hAnsi="Arial" w:cs="Arial"/>
          <w:bCs/>
          <w:color w:val="000000"/>
          <w:sz w:val="20"/>
          <w:szCs w:val="20"/>
        </w:rPr>
      </w:pPr>
      <w:r w:rsidRPr="00A410BB">
        <w:rPr>
          <w:rFonts w:ascii="Arial" w:hAnsi="Arial" w:cs="Arial"/>
          <w:bCs/>
          <w:color w:val="000000"/>
          <w:sz w:val="20"/>
          <w:szCs w:val="20"/>
        </w:rPr>
        <w:t>v. Partial Renewal and Partial Redemption in gold/INR – Modalities</w:t>
      </w:r>
    </w:p>
    <w:p w:rsidR="00A410BB" w:rsidRDefault="00A410BB" w:rsidP="00A410BB">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A410BB" w:rsidRDefault="00A410BB" w:rsidP="00A410BB">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436D36" w:rsidRDefault="00436D36" w:rsidP="00A410BB">
      <w:pPr>
        <w:pStyle w:val="NormalWeb"/>
        <w:rPr>
          <w:rFonts w:ascii="Arial" w:hAnsi="Arial" w:cs="Arial"/>
          <w:color w:val="000000"/>
          <w:sz w:val="20"/>
          <w:szCs w:val="20"/>
        </w:rPr>
      </w:pPr>
    </w:p>
    <w:p w:rsidR="00436D36" w:rsidRDefault="00436D36" w:rsidP="00436D36">
      <w:r>
        <w:t>More details can be referred to in the below link.</w:t>
      </w:r>
    </w:p>
    <w:p w:rsidR="00436D36" w:rsidRDefault="00436D36" w:rsidP="00436D36">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6865D6">
          <w:rPr>
            <w:rStyle w:val="Hyperlink"/>
            <w:rFonts w:ascii="Arial" w:hAnsi="Arial" w:cs="Arial"/>
            <w:bCs/>
            <w:sz w:val="20"/>
            <w:szCs w:val="20"/>
          </w:rPr>
          <w:t>https://www.rbi.org.in/scripts/NotificationUser.aspx?Id=12368&amp;Mode=0</w:t>
        </w:r>
      </w:hyperlink>
    </w:p>
    <w:p w:rsidR="00436D36" w:rsidRDefault="00436D36" w:rsidP="00436D36">
      <w:pPr>
        <w:pStyle w:val="NormalWeb"/>
        <w:rPr>
          <w:rFonts w:ascii="Arial" w:hAnsi="Arial" w:cs="Arial"/>
          <w:color w:val="000000"/>
          <w:sz w:val="20"/>
          <w:szCs w:val="20"/>
        </w:rPr>
      </w:pPr>
    </w:p>
    <w:sectPr w:rsidR="00436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6"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20"/>
  </w:num>
  <w:num w:numId="8">
    <w:abstractNumId w:val="1"/>
  </w:num>
  <w:num w:numId="9">
    <w:abstractNumId w:val="0"/>
  </w:num>
  <w:num w:numId="10">
    <w:abstractNumId w:val="14"/>
  </w:num>
  <w:num w:numId="11">
    <w:abstractNumId w:val="12"/>
  </w:num>
  <w:num w:numId="12">
    <w:abstractNumId w:val="2"/>
  </w:num>
  <w:num w:numId="13">
    <w:abstractNumId w:val="11"/>
  </w:num>
  <w:num w:numId="14">
    <w:abstractNumId w:val="19"/>
  </w:num>
  <w:num w:numId="15">
    <w:abstractNumId w:val="27"/>
  </w:num>
  <w:num w:numId="16">
    <w:abstractNumId w:val="3"/>
  </w:num>
  <w:num w:numId="17">
    <w:abstractNumId w:val="16"/>
  </w:num>
  <w:num w:numId="18">
    <w:abstractNumId w:val="10"/>
  </w:num>
  <w:num w:numId="19">
    <w:abstractNumId w:val="9"/>
  </w:num>
  <w:num w:numId="20">
    <w:abstractNumId w:val="15"/>
  </w:num>
  <w:num w:numId="21">
    <w:abstractNumId w:val="8"/>
  </w:num>
  <w:num w:numId="22">
    <w:abstractNumId w:val="24"/>
  </w:num>
  <w:num w:numId="23">
    <w:abstractNumId w:val="6"/>
  </w:num>
  <w:num w:numId="24">
    <w:abstractNumId w:val="13"/>
  </w:num>
  <w:num w:numId="25">
    <w:abstractNumId w:val="5"/>
  </w:num>
  <w:num w:numId="26">
    <w:abstractNumId w:val="21"/>
  </w:num>
  <w:num w:numId="27">
    <w:abstractNumId w:val="4"/>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B1FDD"/>
    <w:rsid w:val="002C55B6"/>
    <w:rsid w:val="00435B25"/>
    <w:rsid w:val="00436D36"/>
    <w:rsid w:val="0045114B"/>
    <w:rsid w:val="004D6B44"/>
    <w:rsid w:val="004E718A"/>
    <w:rsid w:val="00581BDE"/>
    <w:rsid w:val="00583041"/>
    <w:rsid w:val="005A38FC"/>
    <w:rsid w:val="005D5DB2"/>
    <w:rsid w:val="00645D84"/>
    <w:rsid w:val="0068363E"/>
    <w:rsid w:val="006C5648"/>
    <w:rsid w:val="00706A14"/>
    <w:rsid w:val="00744532"/>
    <w:rsid w:val="008462A3"/>
    <w:rsid w:val="0085415B"/>
    <w:rsid w:val="00912551"/>
    <w:rsid w:val="009126BF"/>
    <w:rsid w:val="009B54D0"/>
    <w:rsid w:val="009F305B"/>
    <w:rsid w:val="00A32EAB"/>
    <w:rsid w:val="00A410BB"/>
    <w:rsid w:val="00A76041"/>
    <w:rsid w:val="00B1420D"/>
    <w:rsid w:val="00B46998"/>
    <w:rsid w:val="00B71788"/>
    <w:rsid w:val="00B87973"/>
    <w:rsid w:val="00BF2165"/>
    <w:rsid w:val="00C754F7"/>
    <w:rsid w:val="00C8671B"/>
    <w:rsid w:val="00C93B49"/>
    <w:rsid w:val="00CE14AF"/>
    <w:rsid w:val="00CF0868"/>
    <w:rsid w:val="00CF340B"/>
    <w:rsid w:val="00DB76CD"/>
    <w:rsid w:val="00DE227F"/>
    <w:rsid w:val="00DE6119"/>
    <w:rsid w:val="00DF2E6C"/>
    <w:rsid w:val="00E0459A"/>
    <w:rsid w:val="00EC5CE1"/>
    <w:rsid w:val="00EC7DE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4360"/>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89894455">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bi.org.in/scripts/NotificationUser.aspx?Id=12368&amp;Mod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bi.org.in/Scripts/BS_ViewMasDirections.aspx?id=1008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DEE31-97C8-4858-B196-2564708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54</cp:revision>
  <dcterms:created xsi:type="dcterms:W3CDTF">2023-02-27T06:47:00Z</dcterms:created>
  <dcterms:modified xsi:type="dcterms:W3CDTF">2023-02-27T11:06:00Z</dcterms:modified>
</cp:coreProperties>
</file>